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6"/>
        </w:tabs>
        <w:spacing w:after="289" w:afterLines="100"/>
        <w:outlineLvl w:val="0"/>
        <w:rPr>
          <w:rFonts w:ascii="宋体" w:hAnsi="宋体" w:eastAsia="宋体" w:cs="宋体"/>
          <w:snapToGrid w:val="0"/>
          <w:sz w:val="44"/>
          <w:szCs w:val="44"/>
        </w:rPr>
      </w:pPr>
      <w:bookmarkStart w:id="0" w:name="M00008GOBJECT_DESC3"/>
      <w:bookmarkStart w:id="1" w:name="_Toc11078"/>
      <w:r>
        <w:rPr>
          <w:rFonts w:ascii="宋体" w:hAnsi="宋体" w:eastAsia="宋体" w:cs="宋体"/>
          <w:snapToGrid w:val="0"/>
          <w:sz w:val="44"/>
          <w:szCs w:val="44"/>
        </w:rPr>
        <w:br w:type="textWrapping" w:clear="all"/>
      </w:r>
      <w:bookmarkEnd w:id="0"/>
      <w:bookmarkEnd w:id="1"/>
      <w:r>
        <w:rPr>
          <w:rFonts w:hint="eastAsia" w:ascii="宋体" w:hAnsi="宋体" w:eastAsia="宋体" w:cs="宋体"/>
          <w:snapToGrid w:val="0"/>
          <w:sz w:val="44"/>
          <w:szCs w:val="44"/>
        </w:rPr>
        <w:t>国家电</w:t>
      </w:r>
      <w:r>
        <w:rPr>
          <w:rFonts w:ascii="宋体" w:hAnsi="宋体" w:eastAsia="宋体" w:cs="宋体"/>
          <w:snapToGrid w:val="0"/>
          <w:sz w:val="44"/>
          <w:szCs w:val="44"/>
        </w:rPr>
        <w:t>投河南电力有限公司开封发电分公司</w:t>
      </w:r>
    </w:p>
    <w:p>
      <w:pPr>
        <w:tabs>
          <w:tab w:val="left" w:pos="1206"/>
        </w:tabs>
        <w:spacing w:after="289" w:afterLines="100"/>
        <w:jc w:val="center"/>
        <w:outlineLvl w:val="0"/>
        <w:rPr>
          <w:rFonts w:ascii="宋体" w:hAnsi="宋体" w:eastAsia="宋体" w:cs="宋体"/>
          <w:snapToGrid w:val="0"/>
          <w:sz w:val="44"/>
          <w:szCs w:val="44"/>
        </w:rPr>
      </w:pPr>
      <w:r>
        <w:rPr>
          <w:rFonts w:hint="eastAsia" w:ascii="宋体" w:hAnsi="宋体" w:eastAsia="宋体" w:cs="宋体"/>
          <w:snapToGrid w:val="0"/>
          <w:sz w:val="44"/>
          <w:szCs w:val="44"/>
        </w:rPr>
        <w:t>保安服务</w:t>
      </w:r>
      <w:r>
        <w:rPr>
          <w:rFonts w:ascii="宋体" w:hAnsi="宋体" w:eastAsia="宋体" w:cs="宋体"/>
          <w:snapToGrid w:val="0"/>
          <w:sz w:val="44"/>
          <w:szCs w:val="44"/>
        </w:rPr>
        <w:t>招标公告</w:t>
      </w:r>
    </w:p>
    <w:p>
      <w:pPr>
        <w:spacing w:line="500" w:lineRule="exact"/>
        <w:ind w:firstLine="622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国家</w:t>
      </w:r>
      <w:r>
        <w:rPr>
          <w:rFonts w:ascii="仿宋_GB2312" w:hAnsi="宋体" w:eastAsia="仿宋_GB2312" w:cs="仿宋_GB2312"/>
          <w:sz w:val="32"/>
          <w:szCs w:val="32"/>
        </w:rPr>
        <w:t>电投河南电力有限公司对</w:t>
      </w:r>
      <w:r>
        <w:rPr>
          <w:rFonts w:hint="eastAsia" w:ascii="仿宋_GB2312" w:hAnsi="宋体" w:eastAsia="仿宋_GB2312" w:cs="仿宋_GB2312"/>
          <w:sz w:val="32"/>
          <w:szCs w:val="32"/>
        </w:rPr>
        <w:t>国家电投河南电力有限公司开封发电分公司保安服务</w:t>
      </w:r>
      <w:r>
        <w:rPr>
          <w:rFonts w:ascii="仿宋_GB2312" w:hAnsi="宋体" w:eastAsia="仿宋_GB2312" w:cs="仿宋_GB2312"/>
          <w:sz w:val="32"/>
          <w:szCs w:val="32"/>
        </w:rPr>
        <w:t>进行公开招标。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b/>
          <w:bCs/>
          <w:sz w:val="32"/>
          <w:szCs w:val="32"/>
        </w:rPr>
        <w:t>一、项目基本情况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招标人：</w:t>
      </w:r>
      <w:r>
        <w:rPr>
          <w:rFonts w:hint="eastAsia" w:ascii="仿宋_GB2312" w:hAnsi="宋体" w:eastAsia="仿宋_GB2312" w:cs="仿宋_GB2312"/>
          <w:sz w:val="32"/>
          <w:szCs w:val="32"/>
        </w:rPr>
        <w:t>国家</w:t>
      </w:r>
      <w:r>
        <w:rPr>
          <w:rFonts w:ascii="仿宋_GB2312" w:hAnsi="宋体" w:eastAsia="仿宋_GB2312" w:cs="仿宋_GB2312"/>
          <w:sz w:val="32"/>
          <w:szCs w:val="32"/>
        </w:rPr>
        <w:t>电投河南电力有限公司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项目单位：开封发电分公司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项目地点：开封市新曹路以北开封火电厂老厂区东侧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项目资金来源：企业自有资金</w:t>
      </w:r>
    </w:p>
    <w:p>
      <w:pPr>
        <w:spacing w:line="500" w:lineRule="exact"/>
        <w:ind w:firstLine="622" w:firstLineChars="200"/>
        <w:jc w:val="left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b/>
          <w:bCs/>
          <w:sz w:val="32"/>
          <w:szCs w:val="32"/>
        </w:rPr>
        <w:t>二、本次招标标段情况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ascii="仿宋_GB2312" w:hAnsi="宋体" w:eastAsia="仿宋_GB2312" w:cs="Times New Roman"/>
          <w:sz w:val="32"/>
          <w:szCs w:val="32"/>
        </w:rPr>
        <w:t>招标编号</w:t>
      </w:r>
      <w:r>
        <w:rPr>
          <w:rFonts w:hint="eastAsia" w:ascii="仿宋_GB2312" w:hAnsi="宋体" w:eastAsia="仿宋_GB2312" w:cs="Times New Roman"/>
          <w:sz w:val="32"/>
          <w:szCs w:val="32"/>
        </w:rPr>
        <w:t>GJ</w:t>
      </w:r>
      <w:r>
        <w:rPr>
          <w:rFonts w:ascii="仿宋_GB2312" w:hAnsi="宋体" w:eastAsia="仿宋_GB2312" w:cs="Times New Roman"/>
          <w:sz w:val="32"/>
          <w:szCs w:val="32"/>
          <w:highlight w:val="none"/>
        </w:rPr>
        <w:t>DTHN201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</w:rPr>
        <w:t>9</w:t>
      </w:r>
      <w:r>
        <w:rPr>
          <w:rFonts w:ascii="仿宋_GB2312" w:hAnsi="宋体" w:eastAsia="仿宋_GB2312" w:cs="Times New Roman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  <w:lang w:val="en-US" w:eastAsia="zh-CN"/>
        </w:rPr>
        <w:t>136</w:t>
      </w:r>
    </w:p>
    <w:p>
      <w:pPr>
        <w:spacing w:line="560" w:lineRule="exact"/>
        <w:ind w:firstLine="622" w:firstLineChars="200"/>
        <w:jc w:val="left"/>
        <w:rPr>
          <w:rFonts w:ascii="仿宋_GB2312" w:hAnsi="宋体" w:eastAsia="仿宋_GB2312" w:cs="仿宋_GB2312"/>
          <w:color w:val="FF0000"/>
          <w:sz w:val="32"/>
          <w:szCs w:val="32"/>
        </w:rPr>
      </w:pPr>
      <w:r>
        <w:rPr>
          <w:rFonts w:ascii="仿宋_GB2312" w:hAnsi="宋体" w:eastAsia="仿宋_GB2312" w:cs="Times New Roman"/>
          <w:sz w:val="32"/>
          <w:szCs w:val="32"/>
        </w:rPr>
        <w:t>标段名称：</w:t>
      </w:r>
      <w:r>
        <w:rPr>
          <w:rFonts w:hint="eastAsia" w:ascii="仿宋_GB2312" w:hAnsi="宋体" w:eastAsia="仿宋_GB2312" w:cs="仿宋_GB2312"/>
          <w:sz w:val="32"/>
          <w:szCs w:val="32"/>
        </w:rPr>
        <w:t>国家电投河南电力有限公司开封发电分公司保安服务</w:t>
      </w:r>
    </w:p>
    <w:p>
      <w:pPr>
        <w:spacing w:line="500" w:lineRule="exact"/>
        <w:ind w:firstLine="622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招标范围：</w:t>
      </w:r>
      <w:r>
        <w:rPr>
          <w:rFonts w:hint="eastAsia" w:ascii="仿宋_GB2312" w:hAnsi="宋体" w:eastAsia="仿宋_GB2312" w:cs="仿宋_GB2312"/>
          <w:sz w:val="32"/>
          <w:szCs w:val="32"/>
        </w:rPr>
        <w:t>保安人数48名。负责开封发电分公司南大门、北门东岗、、北门西岗 、办公楼、监控中心、储灰场等24小时的治安和门卫管理；厂区防盗、治安巡逻，反恐防暴、维持厂区秩序，门禁卡的发放、及时发现和消除安全隐患；配合公司后勤保障部及时受理厂区内各类纠纷和治安案件，及时、正确处理厂内的各类突发事件；做好公司重大活动安全保卫工作；机组大修（A、B、C、D级）现场物资看护工作；临时物资看护工作；配合公安机关打击公司内部与周边的违法犯罪活动。</w:t>
      </w:r>
    </w:p>
    <w:p>
      <w:pPr>
        <w:spacing w:line="500" w:lineRule="exact"/>
        <w:ind w:firstLine="622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具体内容以招标文件为准。</w:t>
      </w:r>
    </w:p>
    <w:p>
      <w:pPr>
        <w:spacing w:line="360" w:lineRule="auto"/>
        <w:ind w:firstLine="622" w:firstLineChars="200"/>
        <w:jc w:val="left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b/>
          <w:bCs/>
          <w:color w:val="auto"/>
          <w:sz w:val="32"/>
          <w:szCs w:val="32"/>
        </w:rPr>
        <w:t>招标文件费用：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eastAsia="zh-CN"/>
        </w:rPr>
        <w:t>以招标文件前附表规定为准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22" w:firstLineChars="200"/>
        <w:jc w:val="left"/>
        <w:rPr>
          <w:rFonts w:ascii="仿宋_GB2312" w:hAnsi="宋体" w:eastAsia="仿宋_GB2312" w:cs="Times New Roman"/>
          <w:b/>
          <w:sz w:val="32"/>
          <w:szCs w:val="32"/>
        </w:rPr>
      </w:pPr>
      <w:r>
        <w:rPr>
          <w:rFonts w:ascii="仿宋_GB2312" w:hAnsi="宋体" w:eastAsia="仿宋_GB2312" w:cs="Times New Roman"/>
          <w:b/>
          <w:sz w:val="32"/>
          <w:szCs w:val="32"/>
        </w:rPr>
        <w:t>三、投标人资格要求</w:t>
      </w:r>
    </w:p>
    <w:p>
      <w:pPr>
        <w:spacing w:line="500" w:lineRule="exact"/>
        <w:ind w:firstLine="622" w:firstLineChars="200"/>
        <w:rPr>
          <w:rFonts w:ascii="仿宋_GB2312" w:hAnsi="宋体" w:eastAsia="仿宋_GB2312" w:cs="Times New Roman"/>
          <w:b/>
          <w:sz w:val="32"/>
          <w:szCs w:val="32"/>
        </w:rPr>
      </w:pPr>
      <w:r>
        <w:rPr>
          <w:rFonts w:ascii="仿宋_GB2312" w:hAnsi="宋体" w:eastAsia="仿宋_GB2312" w:cs="Times New Roman"/>
          <w:b/>
          <w:sz w:val="32"/>
          <w:szCs w:val="32"/>
        </w:rPr>
        <w:t>(一)、基本资格要求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1.投标人应是在中华人民共和国依照《中华人民共和国公司法》注册的、具有独立法人资格的企业。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2.投标人应是合法纳税人资格。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3.投标人应具有良好的银行资信和商业信誉，没有处于被责令停业、财产被接管、冻结、破产状态。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4.投标人应经营状况良好，最近两个报告期未发生资不抵债的情况(提供近三年经审计的财务报表)。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5.投标人在近 3 年内不存在骗取中标、投标中提供虚假资料、串通投标现象、严重违约及因自身的原因而使任何合同被解除的情形。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6.投标人在近3年内不存在重大安全事故，或在近3年内不存在两次较大安全事故，或在近1年内不存在较大安全事故，或近1年内在国家电投集团公司系统未发生人身死亡事故。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7.单位负责人为同一人或存在控股、管理关系的不同单位,不得同时参加本标段投标。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8.投标人与国家电投河南公司及所属单位无任何纠纷。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9.本标段不接受联合体投标。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10.投标人在国家企业信用信息公示系统（</w: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begin"/>
      </w:r>
      <w:r>
        <w:rPr>
          <w:rFonts w:hint="eastAsia" w:ascii="仿宋_GB2312" w:hAnsi="宋体" w:eastAsia="仿宋_GB2312" w:cs="Times New Roman"/>
          <w:sz w:val="32"/>
          <w:szCs w:val="32"/>
        </w:rPr>
        <w:instrText xml:space="preserve"> HYPERLINK "http://www.gsxt.gov.cn/" </w:instrTex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separate"/>
      </w:r>
      <w:r>
        <w:rPr>
          <w:rFonts w:hint="eastAsia" w:ascii="仿宋_GB2312" w:hAnsi="宋体" w:eastAsia="仿宋_GB2312" w:cs="Times New Roman"/>
          <w:sz w:val="32"/>
          <w:szCs w:val="32"/>
        </w:rPr>
        <w:t>www.gsxt.gov.cn</w: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end"/>
      </w:r>
      <w:r>
        <w:rPr>
          <w:rFonts w:hint="eastAsia" w:ascii="仿宋_GB2312" w:hAnsi="宋体" w:eastAsia="仿宋_GB2312" w:cs="Times New Roman"/>
          <w:sz w:val="32"/>
          <w:szCs w:val="32"/>
        </w:rPr>
        <w:t>）网站和信用中国（</w: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begin"/>
      </w:r>
      <w:r>
        <w:rPr>
          <w:rFonts w:hint="eastAsia" w:ascii="仿宋_GB2312" w:hAnsi="宋体" w:eastAsia="仿宋_GB2312" w:cs="Times New Roman"/>
          <w:sz w:val="32"/>
          <w:szCs w:val="32"/>
        </w:rPr>
        <w:instrText xml:space="preserve"> HYPERLINK "http://www.creditchina.gov.cn/" </w:instrTex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separate"/>
      </w:r>
      <w:r>
        <w:rPr>
          <w:rFonts w:hint="eastAsia" w:ascii="仿宋_GB2312" w:hAnsi="宋体" w:eastAsia="仿宋_GB2312" w:cs="Times New Roman"/>
          <w:sz w:val="32"/>
          <w:szCs w:val="32"/>
        </w:rPr>
        <w:t>www.creditchina.gov.cn</w:t>
      </w:r>
      <w:r>
        <w:rPr>
          <w:rFonts w:hint="eastAsia" w:ascii="仿宋_GB2312" w:hAnsi="宋体" w:eastAsia="仿宋_GB2312" w:cs="Times New Roman"/>
          <w:sz w:val="32"/>
          <w:szCs w:val="32"/>
        </w:rPr>
        <w:fldChar w:fldCharType="end"/>
      </w:r>
      <w:r>
        <w:rPr>
          <w:rFonts w:hint="eastAsia" w:ascii="仿宋_GB2312" w:hAnsi="宋体" w:eastAsia="仿宋_GB2312" w:cs="Times New Roman"/>
          <w:sz w:val="32"/>
          <w:szCs w:val="32"/>
        </w:rPr>
        <w:t>）不得被列入严重违法失信企业名单或黑名单记录。</w:t>
      </w:r>
    </w:p>
    <w:p>
      <w:pPr>
        <w:spacing w:line="560" w:lineRule="exact"/>
        <w:ind w:firstLine="622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（二）专项资格要求（以投标文件中提供资料为准，原则上不再澄清）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ascii="仿宋_GB2312" w:hAnsi="宋体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投标单位必须是具备法人资格的保安公司，具有保安服务许可证；注册资金100万以上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。</w:t>
      </w:r>
    </w:p>
    <w:p>
      <w:pPr>
        <w:spacing w:line="560" w:lineRule="exact"/>
        <w:ind w:firstLine="622" w:firstLineChars="200"/>
        <w:jc w:val="left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ascii="仿宋_GB2312" w:hAnsi="宋体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、近两年（2017年1月1日）以来，投标人应具有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电厂生产区域保安服务业绩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，提供合同复印件。</w:t>
      </w:r>
    </w:p>
    <w:p>
      <w:pPr>
        <w:widowControl/>
        <w:spacing w:line="360" w:lineRule="auto"/>
        <w:ind w:firstLine="643"/>
        <w:jc w:val="left"/>
        <w:rPr>
          <w:rFonts w:ascii="宋体" w:hAnsi="宋体" w:cs="宋体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四、发售招标文件事宜</w:t>
      </w:r>
    </w:p>
    <w:p>
      <w:pPr>
        <w:widowControl/>
        <w:spacing w:line="360" w:lineRule="auto"/>
        <w:ind w:firstLine="622"/>
        <w:jc w:val="left"/>
        <w:rPr>
          <w:rFonts w:ascii="宋体" w:hAnsi="宋体" w:cs="宋体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（一）公告时间和发布地址</w:t>
      </w:r>
    </w:p>
    <w:p>
      <w:pPr>
        <w:spacing w:line="360" w:lineRule="auto"/>
        <w:ind w:firstLine="610" w:firstLineChars="196"/>
        <w:rPr>
          <w:rFonts w:ascii="宋体" w:hAnsi="宋体" w:cs="宋体"/>
          <w:kern w:val="0"/>
          <w:sz w:val="23"/>
          <w:szCs w:val="23"/>
        </w:rPr>
      </w:pPr>
      <w:r>
        <w:rPr>
          <w:rFonts w:hint="eastAsia" w:ascii="仿宋_GB2312" w:hAnsi="宋体" w:eastAsia="仿宋_GB2312"/>
          <w:sz w:val="32"/>
          <w:szCs w:val="32"/>
        </w:rPr>
        <w:t>本公告在中国采购与招标网（</w:t>
      </w:r>
      <w:r>
        <w:rPr>
          <w:rFonts w:ascii="仿宋_GB2312" w:hAnsi="宋体" w:eastAsia="仿宋_GB2312"/>
          <w:sz w:val="32"/>
          <w:szCs w:val="32"/>
        </w:rPr>
        <w:t>www.chinabidding.com.cn</w:t>
      </w:r>
      <w:r>
        <w:rPr>
          <w:rFonts w:hint="eastAsia" w:ascii="仿宋_GB2312" w:hAnsi="宋体" w:eastAsia="仿宋_GB2312"/>
          <w:sz w:val="32"/>
          <w:szCs w:val="32"/>
        </w:rPr>
        <w:t>）、晨砻采购网（</w:t>
      </w:r>
      <w:r>
        <w:rPr>
          <w:rFonts w:ascii="仿宋_GB2312" w:hAnsi="宋体" w:eastAsia="仿宋_GB2312"/>
          <w:sz w:val="32"/>
          <w:szCs w:val="32"/>
        </w:rPr>
        <w:t>www.eccl.com.cn</w:t>
      </w:r>
      <w:r>
        <w:rPr>
          <w:rFonts w:hint="eastAsia" w:ascii="仿宋_GB2312" w:hAnsi="宋体" w:eastAsia="仿宋_GB2312"/>
          <w:sz w:val="32"/>
          <w:szCs w:val="32"/>
        </w:rPr>
        <w:t>）上公开发布</w:t>
      </w:r>
      <w:r>
        <w:rPr>
          <w:rFonts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22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招标文件获取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方式</w:t>
      </w:r>
    </w:p>
    <w:p>
      <w:pPr>
        <w:widowControl/>
        <w:spacing w:line="360" w:lineRule="auto"/>
        <w:ind w:firstLine="610"/>
        <w:jc w:val="left"/>
        <w:rPr>
          <w:rFonts w:hint="default" w:ascii="仿宋_GB2312" w:hAnsi="宋体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_GB2312" w:hAnsi="宋体" w:eastAsia="仿宋_GB2312"/>
          <w:b w:val="0"/>
          <w:bCs w:val="0"/>
          <w:color w:val="auto"/>
          <w:sz w:val="32"/>
          <w:szCs w:val="32"/>
        </w:rPr>
        <w:t>1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</w:rPr>
        <w:t>．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val="en-US" w:eastAsia="zh-CN"/>
        </w:rPr>
        <w:t>见公告附件2，自行下载。</w:t>
      </w:r>
    </w:p>
    <w:p>
      <w:pPr>
        <w:widowControl/>
        <w:spacing w:line="360" w:lineRule="auto"/>
        <w:ind w:firstLine="610"/>
        <w:jc w:val="left"/>
        <w:rPr>
          <w:rFonts w:hint="default" w:ascii="仿宋_GB2312" w:hAnsi="宋体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val="en-US" w:eastAsia="zh-CN"/>
        </w:rPr>
        <w:t>五、开标前注意事项</w:t>
      </w:r>
    </w:p>
    <w:p>
      <w:pPr>
        <w:widowControl/>
        <w:spacing w:line="360" w:lineRule="auto"/>
        <w:ind w:firstLine="61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1.对招标文件有异议的，按招标文件投标人须知5.2款执行。</w:t>
      </w:r>
    </w:p>
    <w:p>
      <w:pPr>
        <w:widowControl/>
        <w:spacing w:line="360" w:lineRule="auto"/>
        <w:ind w:firstLine="610"/>
        <w:jc w:val="left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2.参加开标的潜在投标人需携带以下资料至开标现场：</w:t>
      </w:r>
    </w:p>
    <w:p>
      <w:pPr>
        <w:widowControl/>
        <w:spacing w:line="360" w:lineRule="auto"/>
        <w:ind w:firstLine="61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（1）法定代表人授权委托书；</w:t>
      </w:r>
    </w:p>
    <w:p>
      <w:pPr>
        <w:widowControl/>
        <w:spacing w:line="360" w:lineRule="auto"/>
        <w:ind w:firstLine="61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投标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单位登记表（见附件1）；</w:t>
      </w:r>
    </w:p>
    <w:p>
      <w:pPr>
        <w:widowControl/>
        <w:spacing w:line="360" w:lineRule="auto"/>
        <w:ind w:firstLine="61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投标文件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（投标文件的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份数、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密封与标记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要求见招标文件前附表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）。</w:t>
      </w:r>
    </w:p>
    <w:p>
      <w:pPr>
        <w:widowControl/>
        <w:spacing w:line="360" w:lineRule="auto"/>
        <w:ind w:firstLine="610"/>
        <w:jc w:val="left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注：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（1）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单独递交，无需密封。</w:t>
      </w:r>
    </w:p>
    <w:p>
      <w:pPr>
        <w:spacing w:line="560" w:lineRule="exact"/>
        <w:ind w:firstLine="622" w:firstLineChars="200"/>
        <w:jc w:val="left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、截标</w:t>
      </w:r>
      <w:r>
        <w:rPr>
          <w:rFonts w:ascii="仿宋_GB2312" w:hAnsi="宋体" w:eastAsia="仿宋_GB2312"/>
          <w:b/>
          <w:color w:val="auto"/>
          <w:sz w:val="32"/>
          <w:szCs w:val="32"/>
        </w:rPr>
        <w:t>/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开标时间、地点</w:t>
      </w:r>
    </w:p>
    <w:p>
      <w:pPr>
        <w:spacing w:line="560" w:lineRule="exact"/>
        <w:ind w:firstLine="622" w:firstLineChars="200"/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截标</w:t>
      </w:r>
      <w:r>
        <w:rPr>
          <w:rFonts w:ascii="仿宋_GB2312" w:hAnsi="宋体" w:eastAsia="仿宋_GB2312"/>
          <w:b/>
          <w:bCs/>
          <w:color w:val="auto"/>
          <w:sz w:val="32"/>
          <w:szCs w:val="32"/>
        </w:rPr>
        <w:t>/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开标时间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2019年09月24日上午09:30（北京时间）</w:t>
      </w:r>
    </w:p>
    <w:p>
      <w:pPr>
        <w:spacing w:line="560" w:lineRule="exact"/>
        <w:ind w:firstLine="622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截标</w:t>
      </w:r>
      <w:r>
        <w:rPr>
          <w:rFonts w:ascii="仿宋_GB2312" w:hAnsi="宋体" w:eastAsia="仿宋_GB2312"/>
          <w:b/>
          <w:bCs/>
          <w:color w:val="auto"/>
          <w:sz w:val="32"/>
          <w:szCs w:val="32"/>
        </w:rPr>
        <w:t>/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开标地点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：大河国际饭店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 xml:space="preserve">楼 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lang w:val="en-US" w:eastAsia="zh-CN"/>
        </w:rPr>
        <w:t>大河厅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，河南省郑州市经济技术开发区第三大街166号（第三大街与经北五路交叉口西南角）。</w:t>
      </w:r>
    </w:p>
    <w:p>
      <w:pPr>
        <w:spacing w:line="560" w:lineRule="exact"/>
        <w:ind w:firstLine="610" w:firstLineChars="196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联系人：刘来超</w:t>
      </w:r>
    </w:p>
    <w:p>
      <w:pPr>
        <w:spacing w:line="560" w:lineRule="exact"/>
        <w:ind w:firstLine="610" w:firstLineChars="196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电  话：0371-55666754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18903858066</w:t>
      </w:r>
    </w:p>
    <w:p>
      <w:pPr>
        <w:spacing w:line="560" w:lineRule="exact"/>
        <w:ind w:firstLine="610" w:firstLineChars="196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E-mail：zdthngs_llc@163.com</w:t>
      </w:r>
    </w:p>
    <w:p>
      <w:pPr>
        <w:spacing w:line="560" w:lineRule="exact"/>
        <w:ind w:firstLine="622" w:firstLineChars="200"/>
        <w:rPr>
          <w:rFonts w:ascii="仿宋_GB2312" w:hAnsi="宋体" w:eastAsia="仿宋_GB2312"/>
          <w:sz w:val="32"/>
          <w:szCs w:val="32"/>
        </w:rPr>
      </w:pPr>
      <w:bookmarkStart w:id="3" w:name="_GoBack"/>
      <w:bookmarkEnd w:id="3"/>
    </w:p>
    <w:p>
      <w:pPr>
        <w:spacing w:line="560" w:lineRule="exact"/>
        <w:ind w:firstLine="622" w:firstLineChars="200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ind w:right="150"/>
        <w:jc w:val="right"/>
        <w:rPr>
          <w:rFonts w:ascii="仿宋_GB2312" w:hAnsi="宋体" w:eastAsia="仿宋_GB2312" w:cs="Times New Roman"/>
          <w:sz w:val="32"/>
          <w:szCs w:val="32"/>
        </w:rPr>
      </w:pPr>
    </w:p>
    <w:p>
      <w:pPr>
        <w:widowControl/>
        <w:spacing w:line="360" w:lineRule="auto"/>
        <w:ind w:right="1230"/>
        <w:jc w:val="right"/>
        <w:rPr>
          <w:rFonts w:ascii="宋体" w:hAnsi="宋体" w:cs="宋体"/>
          <w:color w:val="FF0000"/>
          <w:kern w:val="0"/>
          <w:sz w:val="23"/>
          <w:szCs w:val="23"/>
          <w:highlight w:val="none"/>
        </w:rPr>
      </w:pPr>
      <w:r>
        <w:rPr>
          <w:rFonts w:ascii="仿宋_GB2312" w:hAnsi="宋体" w:eastAsia="仿宋_GB2312" w:cs="Times New Roman"/>
          <w:sz w:val="32"/>
          <w:szCs w:val="32"/>
        </w:rPr>
        <w:t xml:space="preserve">     </w:t>
      </w:r>
      <w:bookmarkStart w:id="2" w:name="MDD00008GAPPLY_DATE"/>
      <w:r>
        <w:rPr>
          <w:rFonts w:hint="eastAsia"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/>
          <w:sz w:val="32"/>
          <w:szCs w:val="32"/>
        </w:rPr>
        <w:t>日</w:t>
      </w:r>
      <w:bookmarkEnd w:id="2"/>
    </w:p>
    <w:p>
      <w:pPr>
        <w:spacing w:line="560" w:lineRule="exact"/>
        <w:ind w:right="1230" w:rightChars="612"/>
        <w:jc w:val="right"/>
        <w:rPr>
          <w:rFonts w:ascii="仿宋_GB2312" w:hAnsi="仿宋_GB2312" w:eastAsia="仿宋_GB2312" w:cs="Times New Roman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992" w:gutter="0"/>
          <w:pgNumType w:start="1"/>
          <w:cols w:space="720" w:num="1"/>
          <w:docGrid w:type="linesAndChars" w:linePitch="289" w:charSpace="-1844"/>
        </w:sectPr>
      </w:pPr>
    </w:p>
    <w:p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附件1：招标文件购买单位登记表</w:t>
      </w:r>
    </w:p>
    <w:tbl>
      <w:tblPr>
        <w:tblStyle w:val="7"/>
        <w:tblW w:w="8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1"/>
        <w:gridCol w:w="3095"/>
        <w:gridCol w:w="2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标段名称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标段</w:t>
            </w:r>
            <w:r>
              <w:rPr>
                <w:rFonts w:ascii="仿宋_GB2312" w:hAnsi="宋体" w:eastAsia="仿宋_GB2312"/>
                <w:sz w:val="32"/>
                <w:szCs w:val="32"/>
              </w:rPr>
              <w:t>编号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pacing w:val="-12"/>
                <w:sz w:val="32"/>
                <w:szCs w:val="32"/>
              </w:rPr>
              <w:t>购买招标文件单位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pacing w:val="-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纳税人识别号*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</w:t>
            </w:r>
            <w:r>
              <w:rPr>
                <w:rFonts w:ascii="仿宋_GB2312" w:hAnsi="宋体" w:eastAsia="仿宋_GB2312"/>
                <w:sz w:val="32"/>
                <w:szCs w:val="32"/>
              </w:rPr>
              <w:t>开户行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单位账号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单位地</w:t>
            </w:r>
            <w:r>
              <w:rPr>
                <w:rFonts w:ascii="仿宋_GB2312" w:hAnsi="宋体" w:eastAsia="仿宋_GB2312"/>
                <w:sz w:val="32"/>
                <w:szCs w:val="32"/>
              </w:rPr>
              <w:t>址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单位电话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</w:p>
        </w:tc>
        <w:tc>
          <w:tcPr>
            <w:tcW w:w="6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  <w:jc w:val="center"/>
        </w:trPr>
        <w:tc>
          <w:tcPr>
            <w:tcW w:w="8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pacing w:val="-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联系人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pacing w:val="-32"/>
                <w:sz w:val="32"/>
                <w:szCs w:val="32"/>
              </w:rPr>
            </w:pPr>
            <w:r>
              <w:rPr>
                <w:rFonts w:ascii="仿宋_GB2312" w:hAnsi="宋体" w:eastAsia="仿宋_GB2312"/>
                <w:spacing w:val="-32"/>
                <w:sz w:val="32"/>
                <w:szCs w:val="32"/>
              </w:rPr>
              <w:t>购买招标文件人员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单位负责人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手机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电话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E-Mail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备注：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带“</w:t>
            </w:r>
            <w:r>
              <w:rPr>
                <w:rFonts w:hint="eastAsia" w:ascii="仿宋_GB2312" w:hAnsi="宋体" w:eastAsia="仿宋_GB2312"/>
                <w:spacing w:val="-12"/>
                <w:sz w:val="32"/>
                <w:szCs w:val="32"/>
              </w:rPr>
              <w:t>*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”为开票信息，须填写完整，标书费发票</w:t>
            </w:r>
            <w:r>
              <w:rPr>
                <w:rFonts w:ascii="仿宋_GB2312" w:hAnsi="宋体" w:eastAsia="仿宋_GB2312"/>
                <w:sz w:val="32"/>
                <w:szCs w:val="32"/>
              </w:rPr>
              <w:t>将于开标时交与投标人。</w:t>
            </w:r>
          </w:p>
        </w:tc>
      </w:tr>
    </w:tbl>
    <w:p>
      <w:r>
        <w:rPr>
          <w:rFonts w:hint="eastAsia" w:ascii="宋体" w:hAnsi="宋体" w:eastAsia="宋体" w:cs="宋体"/>
          <w:sz w:val="32"/>
          <w:szCs w:val="32"/>
        </w:rPr>
        <w:t>说明：此表中各项必须真实填写，不能出现空项。</w:t>
      </w:r>
    </w:p>
    <w:p>
      <w:pPr>
        <w:tabs>
          <w:tab w:val="left" w:pos="1206"/>
        </w:tabs>
        <w:spacing w:after="289" w:afterLines="100"/>
        <w:outlineLvl w:val="0"/>
        <w:rPr>
          <w:rFonts w:ascii="仿宋_GB2312" w:hAnsi="仿宋_GB2312" w:eastAsia="仿宋_GB2312" w:cs="Times New Roman"/>
          <w:sz w:val="32"/>
          <w:szCs w:val="32"/>
        </w:rPr>
        <w:sectPr>
          <w:headerReference r:id="rId5" w:type="default"/>
          <w:footerReference r:id="rId6" w:type="default"/>
          <w:pgSz w:w="11906" w:h="16838"/>
          <w:pgMar w:top="2098" w:right="1474" w:bottom="1985" w:left="1588" w:header="851" w:footer="992" w:gutter="0"/>
          <w:cols w:space="720" w:num="1"/>
          <w:docGrid w:type="linesAndChars" w:linePitch="289" w:charSpace="-1844"/>
        </w:sectPr>
      </w:pPr>
    </w:p>
    <w:p>
      <w:pPr>
        <w:tabs>
          <w:tab w:val="left" w:pos="1206"/>
        </w:tabs>
        <w:spacing w:after="312" w:afterLines="100"/>
        <w:jc w:val="left"/>
        <w:rPr>
          <w:rFonts w:ascii="宋体" w:hAnsi="宋体" w:eastAsia="宋体" w:cs="宋体"/>
          <w:snapToGrid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2"/>
      <w:jc w:val="right"/>
      <w:rPr>
        <w:rStyle w:val="9"/>
      </w:rPr>
    </w:pPr>
  </w:p>
  <w:p>
    <w:pPr>
      <w:pStyle w:val="5"/>
      <w:ind w:right="360"/>
      <w:jc w:val="center"/>
      <w:rPr>
        <w:rFonts w:eastAsia="Times New Roman"/>
      </w:rPr>
    </w:pPr>
    <w:r>
      <w:fldChar w:fldCharType="begin"/>
    </w:r>
    <w:r>
      <w:rPr>
        <w:rStyle w:val="9"/>
      </w:rPr>
      <w:instrText xml:space="preserve"> PAGE </w:instrText>
    </w:r>
    <w:r>
      <w:fldChar w:fldCharType="separate"/>
    </w:r>
    <w:r>
      <w:rPr>
        <w:rStyle w:val="9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jc w:val="right"/>
      <w:rPr>
        <w:rStyle w:val="9"/>
      </w:rPr>
    </w:pPr>
  </w:p>
  <w:p>
    <w:pPr>
      <w:pStyle w:val="5"/>
      <w:ind w:right="360" w:firstLine="5310" w:firstLineChars="2950"/>
      <w:rPr>
        <w:rFonts w:eastAsia="Times New Roman"/>
      </w:rPr>
    </w:pPr>
    <w:r>
      <w:fldChar w:fldCharType="begin"/>
    </w:r>
    <w:r>
      <w:rPr>
        <w:rStyle w:val="9"/>
      </w:rPr>
      <w:instrText xml:space="preserve"> PAGE </w:instrText>
    </w:r>
    <w:r>
      <w:fldChar w:fldCharType="separate"/>
    </w:r>
    <w:r>
      <w:rPr>
        <w:rStyle w:val="9"/>
      </w:rP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rPr>
        <w:rFonts w:eastAsia="Times New Roman"/>
      </w:rPr>
    </w:pPr>
    <w:r>
      <w:rPr>
        <w:rFonts w:hint="eastAsia"/>
      </w:rPr>
      <w:t xml:space="preserve">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rPr>
        <w:rFonts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72ADC"/>
    <w:rsid w:val="000941EC"/>
    <w:rsid w:val="0018075E"/>
    <w:rsid w:val="001C0AF8"/>
    <w:rsid w:val="003618A3"/>
    <w:rsid w:val="00365EA1"/>
    <w:rsid w:val="009764E7"/>
    <w:rsid w:val="00BF738B"/>
    <w:rsid w:val="00C6772F"/>
    <w:rsid w:val="00CA0740"/>
    <w:rsid w:val="00F2370E"/>
    <w:rsid w:val="00FC3682"/>
    <w:rsid w:val="02DC75B7"/>
    <w:rsid w:val="046F1B87"/>
    <w:rsid w:val="07407EA7"/>
    <w:rsid w:val="092E7A7E"/>
    <w:rsid w:val="0A153ADB"/>
    <w:rsid w:val="0F034EEB"/>
    <w:rsid w:val="14904D94"/>
    <w:rsid w:val="1B2648B8"/>
    <w:rsid w:val="1EBA72DE"/>
    <w:rsid w:val="23522229"/>
    <w:rsid w:val="25657DDE"/>
    <w:rsid w:val="25EE64ED"/>
    <w:rsid w:val="26253B74"/>
    <w:rsid w:val="2B9F036A"/>
    <w:rsid w:val="2CD960C7"/>
    <w:rsid w:val="462458FA"/>
    <w:rsid w:val="4D86386A"/>
    <w:rsid w:val="55EE0F9D"/>
    <w:rsid w:val="57B5000E"/>
    <w:rsid w:val="5B6562AA"/>
    <w:rsid w:val="5F75556A"/>
    <w:rsid w:val="60915AAE"/>
    <w:rsid w:val="64374BFA"/>
    <w:rsid w:val="66AB5AE5"/>
    <w:rsid w:val="69CC693D"/>
    <w:rsid w:val="6CEA45D5"/>
    <w:rsid w:val="6F854D05"/>
    <w:rsid w:val="79B92BC2"/>
    <w:rsid w:val="7C2F75C6"/>
    <w:rsid w:val="7E27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pPr>
      <w:spacing w:line="400" w:lineRule="exact"/>
    </w:pPr>
    <w:rPr>
      <w:sz w:val="24"/>
    </w:rPr>
  </w:style>
  <w:style w:type="paragraph" w:styleId="3">
    <w:name w:val="Body Text Indent"/>
    <w:basedOn w:val="1"/>
    <w:qFormat/>
    <w:uiPriority w:val="0"/>
    <w:pPr>
      <w:ind w:right="250" w:rightChars="78" w:firstLine="640" w:firstLineChars="200"/>
    </w:pPr>
    <w:rPr>
      <w:rFonts w:eastAsia="仿宋_GB2312"/>
      <w:sz w:val="32"/>
      <w:szCs w:val="24"/>
    </w:r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LiobWin7</Company>
  <Pages>7</Pages>
  <Words>332</Words>
  <Characters>1896</Characters>
  <Lines>15</Lines>
  <Paragraphs>4</Paragraphs>
  <TotalTime>105</TotalTime>
  <ScaleCrop>false</ScaleCrop>
  <LinksUpToDate>false</LinksUpToDate>
  <CharactersWithSpaces>2224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2018-01-04T08:34:00Z</dcterms:created>
  <dc:creator>张帅雷</dc:creator>
  <cp:lastModifiedBy>剑齿虎</cp:lastModifiedBy>
  <dcterms:modified xsi:type="dcterms:W3CDTF">2019-08-29T06:14:28Z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